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FD7317">
        <w:rPr>
          <w:rFonts w:ascii="Times New Roman" w:hAnsi="Times New Roman"/>
          <w:b/>
          <w:sz w:val="28"/>
          <w:szCs w:val="28"/>
        </w:rPr>
        <w:t>второй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4F7F62">
        <w:rPr>
          <w:rFonts w:ascii="Times New Roman" w:hAnsi="Times New Roman"/>
          <w:b/>
          <w:sz w:val="28"/>
          <w:szCs w:val="28"/>
        </w:rPr>
        <w:t>2021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FD7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F7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 2021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г.о.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 корреспонденции Железнодорожного внутригородского района –</w:t>
      </w:r>
      <w:r w:rsidR="00576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7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216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3"/>
        <w:gridCol w:w="1950"/>
      </w:tblGrid>
      <w:tr w:rsidR="00F64FBC" w:rsidRPr="00AB76E7" w:rsidTr="00FD7317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Самарской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г.о. Самара, Департаменты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поступившие из Администрации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Повестки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3" w:type="dxa"/>
          </w:tcPr>
          <w:p w:rsidR="00FD7317" w:rsidRPr="003F4E03" w:rsidRDefault="00FD7317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3" w:type="dxa"/>
          </w:tcPr>
          <w:p w:rsidR="00FD7317" w:rsidRPr="003F4E03" w:rsidRDefault="00FD7317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3" w:type="dxa"/>
          </w:tcPr>
          <w:p w:rsidR="00FD7317" w:rsidRPr="003F4E03" w:rsidRDefault="00FD7317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3" w:type="dxa"/>
          </w:tcPr>
          <w:p w:rsidR="00FD7317" w:rsidRPr="00B208D1" w:rsidRDefault="00FD7317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FD73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3A91" wp14:editId="6F5EB5CC">
            <wp:extent cx="5924550" cy="45434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6AE" w:rsidRPr="002C56AE" w:rsidRDefault="002C56AE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56"/>
        <w:gridCol w:w="6799"/>
        <w:gridCol w:w="1843"/>
      </w:tblGrid>
      <w:tr w:rsidR="00F64FBC" w:rsidRPr="00F64FBC" w:rsidTr="005C17C6">
        <w:tc>
          <w:tcPr>
            <w:tcW w:w="856" w:type="dxa"/>
          </w:tcPr>
          <w:p w:rsidR="00F64FBC" w:rsidRPr="005C17C6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</w:tcPr>
          <w:p w:rsidR="00F64FBC" w:rsidRPr="005C17C6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1843" w:type="dxa"/>
          </w:tcPr>
          <w:p w:rsidR="00F64FBC" w:rsidRPr="005C17C6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</w:tcPr>
          <w:p w:rsidR="00FD7317" w:rsidRPr="005C17C6" w:rsidRDefault="00FD7317" w:rsidP="00F64FBC">
            <w:pPr>
              <w:suppressAutoHyphens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вопросы архитектурного отдела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 и защита прав потребителей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транспорт, общественная безопасность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социальная сфера (в т.ч. запросы по работе КДН)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экономика и бюджетный учет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кадровая политика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работа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архив, делопроизводство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материалы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акты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F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6837" wp14:editId="5285E750">
            <wp:extent cx="6124575" cy="44672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10DE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10DE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10DE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95C9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Зарегистрировано и направлено исходящей корреспонденции </w:t>
      </w:r>
      <w:r w:rsidR="00145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– </w:t>
      </w:r>
      <w:r w:rsidR="00A21E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B46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1450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8407B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6"/>
        <w:gridCol w:w="2007"/>
      </w:tblGrid>
      <w:tr w:rsidR="008D3DC1" w:rsidRPr="00DF6EAB" w:rsidTr="00D702F1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8D3DC1" w:rsidRPr="00A15521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 отделом</w:t>
            </w:r>
            <w:r w:rsidR="00D518C5"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ЖКХ и благоустройству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МС и кадров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гражданской защиты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ИКС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Административно-хозяйственный отдел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 Отдел муниципального контроля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6B46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2675" cy="9039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56AE" w:rsidRPr="002C56AE" w:rsidRDefault="002C56AE" w:rsidP="002C56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3)Распоряжения Администрации Железнодорожного внутригородского района городского округа Самара  -  1</w:t>
      </w:r>
      <w:r w:rsidR="00BE2B62" w:rsidRPr="00BE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Pr="002C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6811"/>
        <w:gridCol w:w="1943"/>
      </w:tblGrid>
      <w:tr w:rsidR="002C56AE" w:rsidRPr="00DC2ECC" w:rsidTr="005B1AD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E2B62" w:rsidRDefault="002C56AE" w:rsidP="005671C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BE2B62" w:rsidRDefault="002C56AE" w:rsidP="005671C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AE" w:rsidRPr="00BE2B62" w:rsidRDefault="002C56AE" w:rsidP="005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B1AD4" w:rsidRPr="00DC2ECC" w:rsidTr="005B1AD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1AD4" w:rsidRPr="00DC2ECC" w:rsidTr="005B1AD4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1AD4" w:rsidRPr="00DC2ECC" w:rsidTr="005B1AD4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B1AD4" w:rsidRPr="00DC2ECC" w:rsidTr="005B1AD4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AD4" w:rsidRPr="00DC2ECC" w:rsidTr="005B1AD4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1AD4" w:rsidRPr="00DC2ECC" w:rsidTr="005B1A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1AD4" w:rsidRPr="00DC2ECC" w:rsidTr="005B1AD4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AD4" w:rsidRPr="00DC2ECC" w:rsidTr="005B1A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AD4" w:rsidRPr="00DC2ECC" w:rsidTr="005B1AD4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D4" w:rsidRPr="00BE2B62" w:rsidRDefault="005B1AD4" w:rsidP="005B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5B1AD4" w:rsidP="005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AD4" w:rsidRPr="00DC2ECC" w:rsidTr="005671C3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4" w:rsidRPr="00BE2B62" w:rsidRDefault="005B1AD4" w:rsidP="005B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D4" w:rsidRPr="00BE2B62" w:rsidRDefault="005B1AD4" w:rsidP="005B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D4" w:rsidRPr="00BE2B62" w:rsidRDefault="00DC2ECC" w:rsidP="005B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EAFEA" wp14:editId="52AFA5EF">
            <wp:extent cx="5953125" cy="4962525"/>
            <wp:effectExtent l="38100" t="38100" r="47625" b="476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6AE" w:rsidRPr="002C56AE" w:rsidRDefault="002C56AE" w:rsidP="002C56AE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D271B">
        <w:rPr>
          <w:rFonts w:ascii="Times New Roman" w:hAnsi="Times New Roman" w:cs="Times New Roman"/>
          <w:b/>
          <w:sz w:val="28"/>
          <w:szCs w:val="28"/>
        </w:rPr>
        <w:t>54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2C56AE" w:rsidRPr="009561B3" w:rsidTr="005671C3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C56AE" w:rsidRPr="009561B3" w:rsidRDefault="002C56AE" w:rsidP="00567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1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3402" w:type="dxa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1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83513" w:rsidRPr="009561B3" w:rsidTr="00B502A9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3513" w:rsidRPr="009561B3" w:rsidTr="00B502A9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Кадровая политика, обучение персонала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3513" w:rsidRPr="009561B3" w:rsidTr="00B502A9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Муниципальный контроль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3513" w:rsidRPr="009561B3" w:rsidTr="00B502A9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Организационная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3513" w:rsidRPr="009561B3" w:rsidTr="00B502A9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Перевод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3513" w:rsidRPr="009561B3" w:rsidTr="00B502A9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Перепланировка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83513" w:rsidRPr="009561B3" w:rsidTr="00B502A9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Присвоение адреса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3" w:rsidRPr="0038351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51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83513" w:rsidRPr="009561B3" w:rsidTr="002C56AE">
        <w:trPr>
          <w:trHeight w:val="300"/>
        </w:trPr>
        <w:tc>
          <w:tcPr>
            <w:tcW w:w="993" w:type="dxa"/>
          </w:tcPr>
          <w:p w:rsidR="00383513" w:rsidRPr="009561B3" w:rsidRDefault="00383513" w:rsidP="0038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383513" w:rsidRPr="009561B3" w:rsidRDefault="00383513" w:rsidP="005C1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  <w:hideMark/>
          </w:tcPr>
          <w:p w:rsidR="00383513" w:rsidRPr="009561B3" w:rsidRDefault="00383513" w:rsidP="00383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246751" w:rsidRDefault="00246751" w:rsidP="002D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71B" w:rsidRPr="00235586" w:rsidRDefault="002D271B" w:rsidP="002D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35586">
        <w:rPr>
          <w:rFonts w:ascii="Times New Roman" w:hAnsi="Times New Roman" w:cs="Times New Roman"/>
          <w:sz w:val="28"/>
          <w:szCs w:val="28"/>
        </w:rPr>
        <w:t>постановлений являются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586">
        <w:rPr>
          <w:rFonts w:ascii="Times New Roman" w:hAnsi="Times New Roman" w:cs="Times New Roman"/>
          <w:sz w:val="28"/>
          <w:szCs w:val="28"/>
        </w:rPr>
        <w:t xml:space="preserve">  </w:t>
      </w:r>
      <w:r w:rsidR="0024675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35586">
        <w:rPr>
          <w:rFonts w:ascii="Times New Roman" w:hAnsi="Times New Roman" w:cs="Times New Roman"/>
          <w:sz w:val="28"/>
          <w:szCs w:val="28"/>
        </w:rPr>
        <w:t>опубликованы в «Самарской газете» и размещены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6AE" w:rsidRDefault="002C56AE" w:rsidP="002C56AE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7D9A51" wp14:editId="6895DCC1">
            <wp:extent cx="6105525" cy="4433570"/>
            <wp:effectExtent l="0" t="0" r="952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56AE" w:rsidRDefault="002C56AE" w:rsidP="002C56AE"/>
    <w:p w:rsidR="004372B3" w:rsidRDefault="004372B3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3A52" w:rsidRDefault="00B33A52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0435" w:rsidRDefault="00530435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43BE" w:rsidRPr="003375D4" w:rsidRDefault="008743BE" w:rsidP="008743BE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375D4">
        <w:rPr>
          <w:rFonts w:ascii="Times New Roman" w:hAnsi="Times New Roman" w:cs="Times New Roman"/>
          <w:b/>
          <w:i/>
          <w:sz w:val="27"/>
          <w:szCs w:val="27"/>
          <w:u w:val="single"/>
        </w:rPr>
        <w:t>Информация по корреспонденции поступившей из органов прокуратуры</w:t>
      </w:r>
    </w:p>
    <w:p w:rsidR="008743BE" w:rsidRDefault="008743BE" w:rsidP="00874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5D4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375D4">
        <w:rPr>
          <w:rFonts w:ascii="Times New Roman" w:hAnsi="Times New Roman" w:cs="Times New Roman"/>
          <w:sz w:val="27"/>
          <w:szCs w:val="27"/>
        </w:rPr>
        <w:t xml:space="preserve"> квартал 2021 года  в адрес Администрации Железнодорожного внутригородского района  городского округа Самара из органов прокуратуры поступило </w:t>
      </w:r>
      <w:r>
        <w:rPr>
          <w:rFonts w:ascii="Times New Roman" w:hAnsi="Times New Roman" w:cs="Times New Roman"/>
          <w:sz w:val="27"/>
          <w:szCs w:val="27"/>
        </w:rPr>
        <w:t>82</w:t>
      </w:r>
      <w:r w:rsidRPr="003375D4">
        <w:rPr>
          <w:rFonts w:ascii="Times New Roman" w:hAnsi="Times New Roman" w:cs="Times New Roman"/>
          <w:sz w:val="27"/>
          <w:szCs w:val="27"/>
        </w:rPr>
        <w:t xml:space="preserve"> обращений.</w:t>
      </w:r>
    </w:p>
    <w:p w:rsidR="00B33A52" w:rsidRPr="003375D4" w:rsidRDefault="00B33A52" w:rsidP="00874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43BE" w:rsidRPr="003375D4" w:rsidRDefault="008743BE" w:rsidP="008743B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75D4">
        <w:rPr>
          <w:rFonts w:ascii="Times New Roman" w:hAnsi="Times New Roman" w:cs="Times New Roman"/>
          <w:sz w:val="27"/>
          <w:szCs w:val="27"/>
        </w:rPr>
        <w:t>Из них  обращения: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993"/>
      </w:tblGrid>
      <w:tr w:rsidR="008743BE" w:rsidRPr="00A26714" w:rsidTr="00B33A52">
        <w:trPr>
          <w:trHeight w:val="3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г. Самары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743BE" w:rsidRPr="00A26714" w:rsidTr="00B33A52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Железнодорожного района г. Самара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8743BE" w:rsidRPr="00A26714" w:rsidTr="00B33A52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246751" w:rsidRDefault="008743BE" w:rsidP="00246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743BE" w:rsidRPr="00A26714" w:rsidTr="00B33A52">
        <w:trPr>
          <w:trHeight w:val="80"/>
        </w:trPr>
        <w:tc>
          <w:tcPr>
            <w:tcW w:w="866" w:type="dxa"/>
            <w:shd w:val="clear" w:color="auto" w:fill="auto"/>
          </w:tcPr>
          <w:p w:rsidR="008743BE" w:rsidRPr="00246751" w:rsidRDefault="008743BE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8743BE" w:rsidRPr="00246751" w:rsidRDefault="008743BE" w:rsidP="002467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43BE" w:rsidRPr="00246751" w:rsidRDefault="008743BE" w:rsidP="0024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714" w:rsidRPr="00A26714" w:rsidTr="00B33A52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14" w:rsidRPr="00246751" w:rsidRDefault="00A26714" w:rsidP="0024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14" w:rsidRPr="00246751" w:rsidRDefault="00A26714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26714" w:rsidRPr="00A26714" w:rsidTr="00B33A5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246751" w:rsidP="0024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26714" w:rsidRPr="00A26714" w:rsidTr="00B33A5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14" w:rsidRPr="00246751" w:rsidRDefault="00246751" w:rsidP="0024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14" w:rsidRPr="00246751" w:rsidRDefault="00A26714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Запрос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26714" w:rsidRPr="00A26714" w:rsidTr="00B33A5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14" w:rsidRPr="00246751" w:rsidRDefault="00A26714" w:rsidP="0024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14" w:rsidRPr="00246751" w:rsidRDefault="00A26714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Протест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26714" w:rsidRPr="00A26714" w:rsidTr="00B33A52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 проверке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6714" w:rsidRPr="00A26714" w:rsidTr="00B33A52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письма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14" w:rsidRPr="00246751" w:rsidRDefault="00A26714" w:rsidP="0024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8743BE" w:rsidRDefault="008743BE" w:rsidP="00A26714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A26714" w:rsidRDefault="00A26714" w:rsidP="00A26714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i/>
          <w:noProof/>
          <w:sz w:val="27"/>
          <w:szCs w:val="27"/>
          <w:u w:val="single"/>
          <w:lang w:eastAsia="ru-RU"/>
        </w:rPr>
        <w:drawing>
          <wp:inline distT="0" distB="0" distL="0" distR="0" wp14:anchorId="7A4ED4D9">
            <wp:extent cx="5972175" cy="41884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3BE" w:rsidRPr="00E01684" w:rsidRDefault="008743BE" w:rsidP="008743B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Тематика обращений органов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  </w:t>
      </w:r>
    </w:p>
    <w:p w:rsidR="008743BE" w:rsidRPr="00C12770" w:rsidRDefault="008743BE" w:rsidP="008743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866"/>
        <w:gridCol w:w="7116"/>
        <w:gridCol w:w="993"/>
      </w:tblGrid>
      <w:tr w:rsidR="008743BE" w:rsidRPr="006235DB" w:rsidTr="00670CEC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43BE" w:rsidRPr="006235DB" w:rsidTr="00670CEC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Архитектура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743BE" w:rsidRPr="006235DB" w:rsidTr="00670CEC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Безопасность, режим и защита гостайны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43BE" w:rsidRPr="006235DB" w:rsidTr="00670CEC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BE" w:rsidRPr="006235DB" w:rsidTr="00670CEC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Жилищный контроль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Земельный контроль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ЖКХ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Информатизация бизнесс процессов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Лесной контроль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Обращения граждан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Охрана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Социальная сфера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43BE" w:rsidRPr="006235DB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Хозяйственные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6235DB" w:rsidRDefault="008743BE" w:rsidP="00670C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BE" w:rsidRPr="008F1A8D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446AD9" w:rsidRDefault="008743BE" w:rsidP="008743B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BE" w:rsidRPr="00446AD9" w:rsidRDefault="008743BE" w:rsidP="00670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BE" w:rsidRPr="00446AD9" w:rsidRDefault="008743BE" w:rsidP="00670C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</w:tbl>
    <w:p w:rsidR="008743BE" w:rsidRDefault="008743BE" w:rsidP="00874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3BE" w:rsidRDefault="008743BE" w:rsidP="00874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3BE" w:rsidRDefault="008743BE" w:rsidP="008743BE"/>
    <w:p w:rsidR="008743BE" w:rsidRDefault="008743BE" w:rsidP="008743BE"/>
    <w:p w:rsidR="008743BE" w:rsidRDefault="008743BE" w:rsidP="008743BE"/>
    <w:p w:rsidR="008743BE" w:rsidRDefault="008743BE" w:rsidP="008743BE"/>
    <w:p w:rsidR="002C56AE" w:rsidRDefault="008743BE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65B26" wp14:editId="79A3BC82">
            <wp:extent cx="5939790" cy="9078276"/>
            <wp:effectExtent l="0" t="0" r="381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2C56AE" w:rsidSect="00D81FED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B6">
          <w:rPr>
            <w:noProof/>
          </w:rPr>
          <w:t>3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D"/>
    <w:rsid w:val="000061BD"/>
    <w:rsid w:val="00010479"/>
    <w:rsid w:val="00010DEA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26626"/>
    <w:rsid w:val="00135280"/>
    <w:rsid w:val="00135AC9"/>
    <w:rsid w:val="0014073C"/>
    <w:rsid w:val="001459DC"/>
    <w:rsid w:val="00161528"/>
    <w:rsid w:val="00164D4C"/>
    <w:rsid w:val="00186D9A"/>
    <w:rsid w:val="001A6042"/>
    <w:rsid w:val="001B2B82"/>
    <w:rsid w:val="001B3627"/>
    <w:rsid w:val="001C039D"/>
    <w:rsid w:val="001E0354"/>
    <w:rsid w:val="001F30D2"/>
    <w:rsid w:val="001F335E"/>
    <w:rsid w:val="00206BEE"/>
    <w:rsid w:val="002151BE"/>
    <w:rsid w:val="00216EB0"/>
    <w:rsid w:val="002304F0"/>
    <w:rsid w:val="00230F19"/>
    <w:rsid w:val="00231B8B"/>
    <w:rsid w:val="00235586"/>
    <w:rsid w:val="00241283"/>
    <w:rsid w:val="00246751"/>
    <w:rsid w:val="00246D4A"/>
    <w:rsid w:val="00250735"/>
    <w:rsid w:val="0025463E"/>
    <w:rsid w:val="002631FE"/>
    <w:rsid w:val="002643AC"/>
    <w:rsid w:val="00271BA0"/>
    <w:rsid w:val="002739E7"/>
    <w:rsid w:val="0027462E"/>
    <w:rsid w:val="00284F01"/>
    <w:rsid w:val="002A29CA"/>
    <w:rsid w:val="002A2C18"/>
    <w:rsid w:val="002A33C1"/>
    <w:rsid w:val="002A5761"/>
    <w:rsid w:val="002A6DF1"/>
    <w:rsid w:val="002B65E7"/>
    <w:rsid w:val="002C0FF4"/>
    <w:rsid w:val="002C1FF4"/>
    <w:rsid w:val="002C56AE"/>
    <w:rsid w:val="002D271B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83513"/>
    <w:rsid w:val="0038407B"/>
    <w:rsid w:val="00384E5A"/>
    <w:rsid w:val="0039302B"/>
    <w:rsid w:val="00394512"/>
    <w:rsid w:val="00395C9A"/>
    <w:rsid w:val="003A02BE"/>
    <w:rsid w:val="003B084E"/>
    <w:rsid w:val="003D295D"/>
    <w:rsid w:val="003E155D"/>
    <w:rsid w:val="003F0962"/>
    <w:rsid w:val="003F4E03"/>
    <w:rsid w:val="003F5124"/>
    <w:rsid w:val="003F7912"/>
    <w:rsid w:val="00424FFB"/>
    <w:rsid w:val="00426D6A"/>
    <w:rsid w:val="004372B3"/>
    <w:rsid w:val="00441B7A"/>
    <w:rsid w:val="0044481F"/>
    <w:rsid w:val="00453928"/>
    <w:rsid w:val="004626DB"/>
    <w:rsid w:val="004672D5"/>
    <w:rsid w:val="00471B80"/>
    <w:rsid w:val="004729BD"/>
    <w:rsid w:val="00493DCB"/>
    <w:rsid w:val="00494D62"/>
    <w:rsid w:val="004960E0"/>
    <w:rsid w:val="0049711E"/>
    <w:rsid w:val="004A1CE8"/>
    <w:rsid w:val="004A3D13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30435"/>
    <w:rsid w:val="005321A2"/>
    <w:rsid w:val="00533FBC"/>
    <w:rsid w:val="005447BE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7881"/>
    <w:rsid w:val="005B03CB"/>
    <w:rsid w:val="005B0484"/>
    <w:rsid w:val="005B1AD4"/>
    <w:rsid w:val="005B26E9"/>
    <w:rsid w:val="005B68F1"/>
    <w:rsid w:val="005C17C6"/>
    <w:rsid w:val="005D0DE2"/>
    <w:rsid w:val="005D539C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B25E9"/>
    <w:rsid w:val="006B4689"/>
    <w:rsid w:val="006B7BA2"/>
    <w:rsid w:val="006C0794"/>
    <w:rsid w:val="006C326A"/>
    <w:rsid w:val="006C70A2"/>
    <w:rsid w:val="006D180D"/>
    <w:rsid w:val="006D7989"/>
    <w:rsid w:val="006E35A2"/>
    <w:rsid w:val="006F4003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4F91"/>
    <w:rsid w:val="007F6DDE"/>
    <w:rsid w:val="007F78DC"/>
    <w:rsid w:val="00800BEE"/>
    <w:rsid w:val="00810226"/>
    <w:rsid w:val="0081221B"/>
    <w:rsid w:val="008267D2"/>
    <w:rsid w:val="00842BF7"/>
    <w:rsid w:val="008450FF"/>
    <w:rsid w:val="0086724A"/>
    <w:rsid w:val="00870500"/>
    <w:rsid w:val="008743BE"/>
    <w:rsid w:val="0088399F"/>
    <w:rsid w:val="00893B0D"/>
    <w:rsid w:val="008B0CD1"/>
    <w:rsid w:val="008C142C"/>
    <w:rsid w:val="008C6ECE"/>
    <w:rsid w:val="008D1C62"/>
    <w:rsid w:val="008D3DC1"/>
    <w:rsid w:val="008E1E7D"/>
    <w:rsid w:val="008E47EC"/>
    <w:rsid w:val="008F1418"/>
    <w:rsid w:val="008F1C3A"/>
    <w:rsid w:val="008F5774"/>
    <w:rsid w:val="00900C34"/>
    <w:rsid w:val="00930451"/>
    <w:rsid w:val="00930C09"/>
    <w:rsid w:val="00931222"/>
    <w:rsid w:val="0093620B"/>
    <w:rsid w:val="00941C9A"/>
    <w:rsid w:val="0094396C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3135"/>
    <w:rsid w:val="00A04A11"/>
    <w:rsid w:val="00A1112C"/>
    <w:rsid w:val="00A15521"/>
    <w:rsid w:val="00A168E9"/>
    <w:rsid w:val="00A17D1F"/>
    <w:rsid w:val="00A21E38"/>
    <w:rsid w:val="00A2303C"/>
    <w:rsid w:val="00A26714"/>
    <w:rsid w:val="00A40AEB"/>
    <w:rsid w:val="00A40EA5"/>
    <w:rsid w:val="00A519B6"/>
    <w:rsid w:val="00A55EC8"/>
    <w:rsid w:val="00A65EAB"/>
    <w:rsid w:val="00A73280"/>
    <w:rsid w:val="00A813A7"/>
    <w:rsid w:val="00A962F9"/>
    <w:rsid w:val="00AB5C52"/>
    <w:rsid w:val="00AB76E7"/>
    <w:rsid w:val="00AD384B"/>
    <w:rsid w:val="00AE4BF2"/>
    <w:rsid w:val="00AF3D0F"/>
    <w:rsid w:val="00AF7C61"/>
    <w:rsid w:val="00B00676"/>
    <w:rsid w:val="00B0130D"/>
    <w:rsid w:val="00B051F4"/>
    <w:rsid w:val="00B16976"/>
    <w:rsid w:val="00B208D1"/>
    <w:rsid w:val="00B33A52"/>
    <w:rsid w:val="00B35FE9"/>
    <w:rsid w:val="00B530B5"/>
    <w:rsid w:val="00B64E62"/>
    <w:rsid w:val="00B737B4"/>
    <w:rsid w:val="00BB7586"/>
    <w:rsid w:val="00BC3DE6"/>
    <w:rsid w:val="00BC4054"/>
    <w:rsid w:val="00BC5B26"/>
    <w:rsid w:val="00BE2B62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7178C"/>
    <w:rsid w:val="00C73162"/>
    <w:rsid w:val="00C7317F"/>
    <w:rsid w:val="00C763D3"/>
    <w:rsid w:val="00C81277"/>
    <w:rsid w:val="00C85ACA"/>
    <w:rsid w:val="00C91A60"/>
    <w:rsid w:val="00C92216"/>
    <w:rsid w:val="00C93340"/>
    <w:rsid w:val="00CA1FAE"/>
    <w:rsid w:val="00CB0F06"/>
    <w:rsid w:val="00CC00FE"/>
    <w:rsid w:val="00CD0A60"/>
    <w:rsid w:val="00CD761D"/>
    <w:rsid w:val="00CE79B1"/>
    <w:rsid w:val="00D06D0B"/>
    <w:rsid w:val="00D2250C"/>
    <w:rsid w:val="00D32E93"/>
    <w:rsid w:val="00D46BD6"/>
    <w:rsid w:val="00D4713E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C2ECC"/>
    <w:rsid w:val="00DD00B5"/>
    <w:rsid w:val="00DD2F4D"/>
    <w:rsid w:val="00DD70A3"/>
    <w:rsid w:val="00DF1491"/>
    <w:rsid w:val="00DF6EAB"/>
    <w:rsid w:val="00DF7078"/>
    <w:rsid w:val="00E01684"/>
    <w:rsid w:val="00E22647"/>
    <w:rsid w:val="00E270F6"/>
    <w:rsid w:val="00E376DD"/>
    <w:rsid w:val="00E43F57"/>
    <w:rsid w:val="00E54FB9"/>
    <w:rsid w:val="00E76F93"/>
    <w:rsid w:val="00E77263"/>
    <w:rsid w:val="00E77802"/>
    <w:rsid w:val="00E81AAD"/>
    <w:rsid w:val="00E832C8"/>
    <w:rsid w:val="00EA78EA"/>
    <w:rsid w:val="00EB702D"/>
    <w:rsid w:val="00EB7BAE"/>
    <w:rsid w:val="00EB7BD4"/>
    <w:rsid w:val="00EC3109"/>
    <w:rsid w:val="00EC660F"/>
    <w:rsid w:val="00ED3455"/>
    <w:rsid w:val="00EE3BA2"/>
    <w:rsid w:val="00F00CE2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FBC"/>
    <w:rsid w:val="00F70D57"/>
    <w:rsid w:val="00F712E1"/>
    <w:rsid w:val="00F80C43"/>
    <w:rsid w:val="00F86357"/>
    <w:rsid w:val="00F940AF"/>
    <w:rsid w:val="00F94260"/>
    <w:rsid w:val="00FB0DAF"/>
    <w:rsid w:val="00FB0E9D"/>
    <w:rsid w:val="00FB6ADB"/>
    <w:rsid w:val="00FC152E"/>
    <w:rsid w:val="00FC72B0"/>
    <w:rsid w:val="00FD02E8"/>
    <w:rsid w:val="00FD4A53"/>
    <w:rsid w:val="00FD7317"/>
    <w:rsid w:val="00FE0600"/>
    <w:rsid w:val="00FE372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67E53"/>
  <w15:docId w15:val="{C6D03698-5185-4593-AAAE-2077631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2021 года</a:t>
            </a:r>
          </a:p>
        </c:rich>
      </c:tx>
      <c:layout/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795248078266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C56-4040-AC3C-B07670702BF9}"/>
                </c:ext>
              </c:extLst>
            </c:dLbl>
            <c:dLbl>
              <c:idx val="1"/>
              <c:layout>
                <c:manualLayout>
                  <c:x val="-1.2861736334405184E-2"/>
                  <c:y val="-3.633822501747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56-4040-AC3C-B07670702BF9}"/>
                </c:ext>
              </c:extLst>
            </c:dLbl>
            <c:dLbl>
              <c:idx val="2"/>
              <c:layout>
                <c:manualLayout>
                  <c:x val="6.4308681672025723E-3"/>
                  <c:y val="-3.354297693920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C56-4040-AC3C-B07670702BF9}"/>
                </c:ext>
              </c:extLst>
            </c:dLbl>
            <c:dLbl>
              <c:idx val="3"/>
              <c:layout>
                <c:manualLayout>
                  <c:x val="-7.8598591843724714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C56-4040-AC3C-B07670702BF9}"/>
                </c:ext>
              </c:extLst>
            </c:dLbl>
            <c:dLbl>
              <c:idx val="4"/>
              <c:layout>
                <c:manualLayout>
                  <c:x val="4.2872454448017148E-3"/>
                  <c:y val="-4.1928721174004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C56-4040-AC3C-B07670702BF9}"/>
                </c:ext>
              </c:extLst>
            </c:dLbl>
            <c:dLbl>
              <c:idx val="5"/>
              <c:layout>
                <c:manualLayout>
                  <c:x val="-7.8598591843724714E-17"/>
                  <c:y val="-4.192872117400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C56-4040-AC3C-B07670702BF9}"/>
                </c:ext>
              </c:extLst>
            </c:dLbl>
            <c:dLbl>
              <c:idx val="6"/>
              <c:layout>
                <c:manualLayout>
                  <c:x val="-7.8598591843724714E-17"/>
                  <c:y val="-3.354297693920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56-4040-AC3C-B07670702BF9}"/>
                </c:ext>
              </c:extLst>
            </c:dLbl>
            <c:dLbl>
              <c:idx val="7"/>
              <c:layout>
                <c:manualLayout>
                  <c:x val="1.2861736334405145E-2"/>
                  <c:y val="-5.590496156533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C56-4040-AC3C-B07670702BF9}"/>
                </c:ext>
              </c:extLst>
            </c:dLbl>
            <c:dLbl>
              <c:idx val="8"/>
              <c:layout>
                <c:manualLayout>
                  <c:x val="0"/>
                  <c:y val="-2.795248078266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C56-4040-AC3C-B07670702BF9}"/>
                </c:ext>
              </c:extLst>
            </c:dLbl>
            <c:dLbl>
              <c:idx val="9"/>
              <c:layout>
                <c:manualLayout>
                  <c:x val="-2.1436227224010149E-3"/>
                  <c:y val="-3.913347309573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C56-4040-AC3C-B07670702BF9}"/>
                </c:ext>
              </c:extLst>
            </c:dLbl>
            <c:dLbl>
              <c:idx val="10"/>
              <c:layout>
                <c:manualLayout>
                  <c:x val="6.4308681672025723E-3"/>
                  <c:y val="-3.633822501747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C56-4040-AC3C-B07670702BF9}"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C56-4040-AC3C-B07670702B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Поручения поступившие из Администрации г.о. Самара</c:v>
                </c:pt>
                <c:pt idx="3">
                  <c:v>Протоколы совещаний</c:v>
                </c:pt>
                <c:pt idx="4">
                  <c:v>Повестки совещаний</c:v>
                </c:pt>
                <c:pt idx="5">
                  <c:v>Самарская Губернская Дума</c:v>
                </c:pt>
                <c:pt idx="6">
                  <c:v>Дума г.о. Самара</c:v>
                </c:pt>
                <c:pt idx="7">
                  <c:v>Совет депутатов</c:v>
                </c:pt>
                <c:pt idx="8">
                  <c:v>Органы прокуратуры</c:v>
                </c:pt>
                <c:pt idx="9">
                  <c:v>Организации, предприятия</c:v>
                </c:pt>
                <c:pt idx="10">
                  <c:v>Судебные органы</c:v>
                </c:pt>
                <c:pt idx="11">
                  <c:v>Нормативные акты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56</c:v>
                </c:pt>
                <c:pt idx="1">
                  <c:v>516</c:v>
                </c:pt>
                <c:pt idx="2">
                  <c:v>462</c:v>
                </c:pt>
                <c:pt idx="3">
                  <c:v>37</c:v>
                </c:pt>
                <c:pt idx="4">
                  <c:v>9</c:v>
                </c:pt>
                <c:pt idx="5">
                  <c:v>11</c:v>
                </c:pt>
                <c:pt idx="6">
                  <c:v>7</c:v>
                </c:pt>
                <c:pt idx="7">
                  <c:v>1</c:v>
                </c:pt>
                <c:pt idx="8">
                  <c:v>82</c:v>
                </c:pt>
                <c:pt idx="9">
                  <c:v>635</c:v>
                </c:pt>
                <c:pt idx="10">
                  <c:v>204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343616"/>
        <c:axId val="127390848"/>
        <c:axId val="0"/>
      </c:bar3DChart>
      <c:catAx>
        <c:axId val="1273436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7390848"/>
        <c:crosses val="autoZero"/>
        <c:auto val="1"/>
        <c:lblAlgn val="ctr"/>
        <c:lblOffset val="100"/>
        <c:noMultiLvlLbl val="0"/>
      </c:catAx>
      <c:valAx>
        <c:axId val="1273908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734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 квартал 2021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FB9-4114-9DE8-EC361F6FB99E}"/>
                </c:ext>
              </c:extLst>
            </c:dLbl>
            <c:dLbl>
              <c:idx val="1"/>
              <c:layout>
                <c:manualLayout>
                  <c:x val="2.1539561075991881E-3"/>
                  <c:y val="-0.11230502080776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FB9-4114-9DE8-EC361F6FB99E}"/>
                </c:ext>
              </c:extLst>
            </c:dLbl>
            <c:dLbl>
              <c:idx val="2"/>
              <c:layout>
                <c:manualLayout>
                  <c:x val="1.3598182856250989E-2"/>
                  <c:y val="-0.112600451970530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62998921251341E-2"/>
                      <c:h val="3.67572425054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FB9-4114-9DE8-EC361F6FB99E}"/>
                </c:ext>
              </c:extLst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FB9-4114-9DE8-EC361F6FB99E}"/>
                </c:ext>
              </c:extLst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FB9-4114-9DE8-EC361F6FB99E}"/>
                </c:ext>
              </c:extLst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FB9-4114-9DE8-EC361F6FB99E}"/>
                </c:ext>
              </c:extLst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FB9-4114-9DE8-EC361F6FB99E}"/>
                </c:ext>
              </c:extLst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FB9-4114-9DE8-EC361F6FB99E}"/>
                </c:ext>
              </c:extLst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FB9-4114-9DE8-EC361F6FB99E}"/>
                </c:ext>
              </c:extLst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FB9-4114-9DE8-EC361F6FB99E}"/>
                </c:ext>
              </c:extLst>
            </c:dLbl>
            <c:dLbl>
              <c:idx val="10"/>
              <c:layout>
                <c:manualLayout>
                  <c:x val="-1.9517043937582919E-3"/>
                  <c:y val="-0.13859465285470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FB9-4114-9DE8-EC361F6FB99E}"/>
                </c:ext>
              </c:extLst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FB9-4114-9DE8-EC361F6FB99E}"/>
                </c:ext>
              </c:extLst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FB9-4114-9DE8-EC361F6FB99E}"/>
                </c:ext>
              </c:extLst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FB9-4114-9DE8-EC361F6FB99E}"/>
                </c:ext>
              </c:extLst>
            </c:dLbl>
            <c:dLbl>
              <c:idx val="14"/>
              <c:layout>
                <c:manualLayout>
                  <c:x val="-1.5821464118704457E-16"/>
                  <c:y val="-4.175365344467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FB9-4114-9DE8-EC361F6FB99E}"/>
                </c:ext>
              </c:extLst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FB9-4114-9DE8-EC361F6FB99E}"/>
                </c:ext>
              </c:extLst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FB9-4114-9DE8-EC361F6FB9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защита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416</c:v>
                </c:pt>
                <c:pt idx="1">
                  <c:v>142</c:v>
                </c:pt>
                <c:pt idx="2">
                  <c:v>117</c:v>
                </c:pt>
                <c:pt idx="3">
                  <c:v>51</c:v>
                </c:pt>
                <c:pt idx="4">
                  <c:v>48</c:v>
                </c:pt>
                <c:pt idx="5">
                  <c:v>70</c:v>
                </c:pt>
                <c:pt idx="6">
                  <c:v>72</c:v>
                </c:pt>
                <c:pt idx="7">
                  <c:v>143</c:v>
                </c:pt>
                <c:pt idx="8">
                  <c:v>19</c:v>
                </c:pt>
                <c:pt idx="9">
                  <c:v>75</c:v>
                </c:pt>
                <c:pt idx="10">
                  <c:v>116</c:v>
                </c:pt>
                <c:pt idx="11">
                  <c:v>11</c:v>
                </c:pt>
                <c:pt idx="12">
                  <c:v>1</c:v>
                </c:pt>
                <c:pt idx="13">
                  <c:v>30</c:v>
                </c:pt>
                <c:pt idx="14">
                  <c:v>5</c:v>
                </c:pt>
                <c:pt idx="15">
                  <c:v>196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FB9-4114-9DE8-EC361F6FB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821120"/>
        <c:axId val="128925696"/>
        <c:axId val="0"/>
      </c:bar3DChart>
      <c:catAx>
        <c:axId val="12882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28925696"/>
        <c:crosses val="autoZero"/>
        <c:auto val="1"/>
        <c:lblAlgn val="ctr"/>
        <c:lblOffset val="100"/>
        <c:noMultiLvlLbl val="0"/>
      </c:catAx>
      <c:valAx>
        <c:axId val="12892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21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Тематика исходящей корреспонденции за 2 квартал </a:t>
            </a:r>
          </a:p>
          <a:p>
            <a:pPr>
              <a:defRPr/>
            </a:pPr>
            <a:r>
              <a:rPr lang="ru-RU"/>
              <a:t>2021 г.</a:t>
            </a:r>
          </a:p>
        </c:rich>
      </c:tx>
      <c:layout>
        <c:manualLayout>
          <c:xMode val="edge"/>
          <c:yMode val="edge"/>
          <c:x val="0.135908649544816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2257-4400-855B-1E4F8CB540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D06A-405F-A586-EA613B76F3A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06A-405F-A586-EA613B76F3A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257-4400-855B-1E4F8CB5402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257-4400-855B-1E4F8CB5402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A-2257-4400-855B-1E4F8CB5402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E-2257-4400-855B-1E4F8CB54023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2257-4400-855B-1E4F8CB54023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0-2257-4400-855B-1E4F8CB54023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2-2257-4400-855B-1E4F8CB54023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D06A-405F-A586-EA613B76F3A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57-4400-855B-1E4F8CB54023}"/>
                </c:ext>
              </c:extLst>
            </c:dLbl>
            <c:dLbl>
              <c:idx val="1"/>
              <c:layout>
                <c:manualLayout>
                  <c:x val="-1.3839780528241724E-2"/>
                  <c:y val="-5.9853208004171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57-4400-855B-1E4F8CB54023}"/>
                </c:ext>
              </c:extLst>
            </c:dLbl>
            <c:dLbl>
              <c:idx val="2"/>
              <c:layout>
                <c:manualLayout>
                  <c:x val="2.8091367415906614E-2"/>
                  <c:y val="-0.151411590792530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06A-405F-A586-EA613B76F3AC}"/>
                </c:ext>
              </c:extLst>
            </c:dLbl>
            <c:dLbl>
              <c:idx val="3"/>
              <c:layout>
                <c:manualLayout>
                  <c:x val="5.1937126599078181E-3"/>
                  <c:y val="-6.0785505260118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6A-405F-A586-EA613B76F3AC}"/>
                </c:ext>
              </c:extLst>
            </c:dLbl>
            <c:dLbl>
              <c:idx val="4"/>
              <c:layout>
                <c:manualLayout>
                  <c:x val="8.9423377812829941E-2"/>
                  <c:y val="-3.951747410883984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257-4400-855B-1E4F8CB54023}"/>
                </c:ext>
              </c:extLst>
            </c:dLbl>
            <c:dLbl>
              <c:idx val="5"/>
              <c:layout>
                <c:manualLayout>
                  <c:x val="5.4211898795364637E-2"/>
                  <c:y val="-1.5804748544362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57-4400-855B-1E4F8CB54023}"/>
                </c:ext>
              </c:extLst>
            </c:dLbl>
            <c:dLbl>
              <c:idx val="6"/>
              <c:layout>
                <c:manualLayout>
                  <c:x val="1.8486509864780634E-2"/>
                  <c:y val="5.135564950932857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257-4400-855B-1E4F8CB54023}"/>
                </c:ext>
              </c:extLst>
            </c:dLbl>
            <c:dLbl>
              <c:idx val="7"/>
              <c:layout>
                <c:manualLayout>
                  <c:x val="3.9635223340513656E-2"/>
                  <c:y val="1.91724401151646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257-4400-855B-1E4F8CB54023}"/>
                </c:ext>
              </c:extLst>
            </c:dLbl>
            <c:dLbl>
              <c:idx val="8"/>
              <c:layout>
                <c:manualLayout>
                  <c:x val="1.942662885840955E-2"/>
                  <c:y val="5.48538176668906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52970503880215"/>
                      <c:h val="6.59501229364243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A99-497B-AB2C-D673863A8100}"/>
                </c:ext>
              </c:extLst>
            </c:dLbl>
            <c:dLbl>
              <c:idx val="9"/>
              <c:layout>
                <c:manualLayout>
                  <c:x val="0.12609556726583829"/>
                  <c:y val="-3.13223755355143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448222565687787"/>
                      <c:h val="7.01862161855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2257-4400-855B-1E4F8CB54023}"/>
                </c:ext>
              </c:extLst>
            </c:dLbl>
            <c:dLbl>
              <c:idx val="10"/>
              <c:layout>
                <c:manualLayout>
                  <c:x val="0.35016620178359831"/>
                  <c:y val="3.14757207073253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531169500257604"/>
                      <c:h val="3.50825430277485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2257-4400-855B-1E4F8CB54023}"/>
                </c:ext>
              </c:extLst>
            </c:dLbl>
            <c:dLbl>
              <c:idx val="11"/>
              <c:layout>
                <c:manualLayout>
                  <c:x val="0.10788545558543969"/>
                  <c:y val="3.88369578144144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257-4400-855B-1E4F8CB54023}"/>
                </c:ext>
              </c:extLst>
            </c:dLbl>
            <c:dLbl>
              <c:idx val="12"/>
              <c:layout>
                <c:manualLayout>
                  <c:x val="-6.3334672037710885E-2"/>
                  <c:y val="3.27281929590202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072127769191141"/>
                      <c:h val="5.0516388296563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257-4400-855B-1E4F8CB54023}"/>
                </c:ext>
              </c:extLst>
            </c:dLbl>
            <c:dLbl>
              <c:idx val="13"/>
              <c:layout>
                <c:manualLayout>
                  <c:x val="3.3007419667595607E-2"/>
                  <c:y val="-1.71516363405048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047913446676967"/>
                      <c:h val="5.0516388296563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2257-4400-855B-1E4F8CB54023}"/>
                </c:ext>
              </c:extLst>
            </c:dLbl>
            <c:dLbl>
              <c:idx val="14"/>
              <c:layout>
                <c:manualLayout>
                  <c:x val="-3.0032446951389631E-2"/>
                  <c:y val="-2.25121859767529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226687274600721"/>
                      <c:h val="6.59501229364243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2257-4400-855B-1E4F8CB54023}"/>
                </c:ext>
              </c:extLst>
            </c:dLbl>
            <c:dLbl>
              <c:idx val="15"/>
              <c:layout>
                <c:manualLayout>
                  <c:x val="-5.6279132032761747E-2"/>
                  <c:y val="1.26891409385206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387437273586552"/>
                      <c:h val="7.4380049174569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2257-4400-855B-1E4F8CB540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257-4400-855B-1E4F8CB54023}"/>
                </c:ext>
              </c:extLst>
            </c:dLbl>
            <c:dLbl>
              <c:idx val="17"/>
              <c:layout>
                <c:manualLayout>
                  <c:x val="-2.0987152494655326E-2"/>
                  <c:y val="-5.18807751770754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257-4400-855B-1E4F8CB54023}"/>
                </c:ext>
              </c:extLst>
            </c:dLbl>
            <c:dLbl>
              <c:idx val="18"/>
              <c:layout>
                <c:manualLayout>
                  <c:x val="-7.7565627398352266E-2"/>
                  <c:y val="-0.131294967439414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257-4400-855B-1E4F8CB54023}"/>
                </c:ext>
              </c:extLst>
            </c:dLbl>
            <c:dLbl>
              <c:idx val="19"/>
              <c:layout>
                <c:manualLayout>
                  <c:x val="2.8708150275651403E-2"/>
                  <c:y val="-0.252832947352169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257-4400-855B-1E4F8CB54023}"/>
                </c:ext>
              </c:extLst>
            </c:dLbl>
            <c:dLbl>
              <c:idx val="20"/>
              <c:layout>
                <c:manualLayout>
                  <c:x val="5.2044120450940541E-2"/>
                  <c:y val="-9.83456847305851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6A-405F-A586-EA613B76F3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Лист1!$A$2:$A$22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Административно-хозяйственный отдел 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Отдел муниципального контроля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</c:v>
                </c:pt>
                <c:pt idx="1">
                  <c:v>21</c:v>
                </c:pt>
                <c:pt idx="2">
                  <c:v>154</c:v>
                </c:pt>
                <c:pt idx="3">
                  <c:v>36</c:v>
                </c:pt>
                <c:pt idx="4">
                  <c:v>27</c:v>
                </c:pt>
                <c:pt idx="5">
                  <c:v>85</c:v>
                </c:pt>
                <c:pt idx="6">
                  <c:v>52</c:v>
                </c:pt>
                <c:pt idx="7">
                  <c:v>70</c:v>
                </c:pt>
                <c:pt idx="8">
                  <c:v>25</c:v>
                </c:pt>
                <c:pt idx="9">
                  <c:v>308</c:v>
                </c:pt>
                <c:pt idx="10">
                  <c:v>14</c:v>
                </c:pt>
                <c:pt idx="11">
                  <c:v>30</c:v>
                </c:pt>
                <c:pt idx="12">
                  <c:v>2</c:v>
                </c:pt>
                <c:pt idx="13">
                  <c:v>64</c:v>
                </c:pt>
                <c:pt idx="14">
                  <c:v>116</c:v>
                </c:pt>
                <c:pt idx="15">
                  <c:v>51</c:v>
                </c:pt>
                <c:pt idx="16">
                  <c:v>20</c:v>
                </c:pt>
                <c:pt idx="17">
                  <c:v>6</c:v>
                </c:pt>
                <c:pt idx="18">
                  <c:v>0</c:v>
                </c:pt>
                <c:pt idx="19">
                  <c:v>86</c:v>
                </c:pt>
                <c:pt idx="20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539891362111417E-2"/>
          <c:y val="0.83855581322211559"/>
          <c:w val="0.97946735792492712"/>
          <c:h val="0.152485620148545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распоряжений Администрации Железнодорожного внутригородского района за </a:t>
            </a:r>
            <a:r>
              <a:rPr lang="en-US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2021 г. 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 w="0" h="0"/>
              </a:sp3d>
            </c:spPr>
            <c:extLst>
              <c:ext xmlns:c16="http://schemas.microsoft.com/office/drawing/2014/chart" uri="{C3380CC4-5D6E-409C-BE32-E72D297353CC}">
                <c16:uniqueId val="{00000001-B504-4D8D-9381-9C754A2E21E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Кадровая политика, обучение персонала</c:v>
                </c:pt>
                <c:pt idx="2">
                  <c:v>Муниципальный контроль</c:v>
                </c:pt>
                <c:pt idx="3">
                  <c:v>Организационная работа</c:v>
                </c:pt>
                <c:pt idx="4">
                  <c:v>Перевод помещений</c:v>
                </c:pt>
                <c:pt idx="5">
                  <c:v>Перепланировка помещения</c:v>
                </c:pt>
                <c:pt idx="6">
                  <c:v>Присвоение адреса</c:v>
                </c:pt>
                <c:pt idx="7">
                  <c:v>Финансы</c:v>
                </c:pt>
                <c:pt idx="8">
                  <c:v>Экономика и развитие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12</c:v>
                </c:pt>
                <c:pt idx="6">
                  <c:v>34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04-4D8D-9381-9C754A2E2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64"/>
        <c:shape val="box"/>
        <c:axId val="129908736"/>
        <c:axId val="129910272"/>
        <c:axId val="0"/>
      </c:bar3DChart>
      <c:catAx>
        <c:axId val="12990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910272"/>
        <c:crosses val="autoZero"/>
        <c:auto val="1"/>
        <c:lblAlgn val="ctr"/>
        <c:lblOffset val="100"/>
        <c:noMultiLvlLbl val="0"/>
      </c:catAx>
      <c:valAx>
        <c:axId val="12991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08736"/>
        <c:crosses val="autoZero"/>
        <c:crossBetween val="between"/>
      </c:valAx>
    </c:plotArea>
    <c:plotVisOnly val="1"/>
    <c:dispBlanksAs val="gap"/>
    <c:showDLblsOverMax val="0"/>
  </c:chart>
  <c:spPr>
    <a:scene3d>
      <a:camera prst="orthographicFront"/>
      <a:lightRig rig="threePt" dir="t"/>
    </a:scene3d>
    <a:sp3d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за 2 квартал 2021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0433601184"/>
          <c:h val="0.41876434661728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DA-45E8-B4AC-1B5E972F281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Кадровая политика, обучение персонала</c:v>
                </c:pt>
                <c:pt idx="2">
                  <c:v>Муниципальный контроль</c:v>
                </c:pt>
                <c:pt idx="3">
                  <c:v>Организационная работа</c:v>
                </c:pt>
                <c:pt idx="4">
                  <c:v>Перевод помещений</c:v>
                </c:pt>
                <c:pt idx="5">
                  <c:v>Перепланировка помещения</c:v>
                </c:pt>
                <c:pt idx="6">
                  <c:v>Присвоение адреса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12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665088"/>
        <c:axId val="131912064"/>
        <c:axId val="0"/>
      </c:bar3DChart>
      <c:catAx>
        <c:axId val="130665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12064"/>
        <c:crosses val="autoZero"/>
        <c:auto val="1"/>
        <c:lblAlgn val="ctr"/>
        <c:lblOffset val="100"/>
        <c:noMultiLvlLbl val="0"/>
      </c:catAx>
      <c:valAx>
        <c:axId val="13191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66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прокуратуры за 2 кв.2021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27061899494762"/>
          <c:y val="9.4572679324429712E-2"/>
          <c:w val="0.80479639097245559"/>
          <c:h val="0.526676049796421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48B-4BB6-BF14-0E6BCFC111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48B-4BB6-BF14-0E6BCFC111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48B-4BB6-BF14-0E6BCFC111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48B-4BB6-BF14-0E6BCFC1113A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48B-4BB6-BF14-0E6BCFC111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48B-4BB6-BF14-0E6BCFC1113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48B-4BB6-BF14-0E6BCFC1113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848B-4BB6-BF14-0E6BCFC1113A}"/>
              </c:ext>
            </c:extLst>
          </c:dPt>
          <c:dPt>
            <c:idx val="8"/>
            <c:bubble3D val="0"/>
            <c:spPr>
              <a:solidFill>
                <a:srgbClr val="00FF99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848B-4BB6-BF14-0E6BCFC1113A}"/>
              </c:ext>
            </c:extLst>
          </c:dPt>
          <c:dPt>
            <c:idx val="9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848B-4BB6-BF14-0E6BCFC1113A}"/>
              </c:ext>
            </c:extLst>
          </c:dPt>
          <c:dPt>
            <c:idx val="10"/>
            <c:bubble3D val="0"/>
            <c:explosion val="4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848B-4BB6-BF14-0E6BCFC1113A}"/>
              </c:ext>
            </c:extLst>
          </c:dPt>
          <c:dPt>
            <c:idx val="1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848B-4BB6-BF14-0E6BCFC1113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848B-4BB6-BF14-0E6BCFC1113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848B-4BB6-BF14-0E6BCFC1113A}"/>
              </c:ext>
            </c:extLst>
          </c:dPt>
          <c:dPt>
            <c:idx val="1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848B-4BB6-BF14-0E6BCFC1113A}"/>
              </c:ext>
            </c:extLst>
          </c:dPt>
          <c:dPt>
            <c:idx val="15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848B-4BB6-BF14-0E6BCFC1113A}"/>
              </c:ext>
            </c:extLst>
          </c:dPt>
          <c:dPt>
            <c:idx val="16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848B-4BB6-BF14-0E6BCFC1113A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848B-4BB6-BF14-0E6BCFC1113A}"/>
              </c:ext>
            </c:extLst>
          </c:dPt>
          <c:dLbls>
            <c:dLbl>
              <c:idx val="0"/>
              <c:layout>
                <c:manualLayout>
                  <c:x val="0.12916255136354385"/>
                  <c:y val="3.99588442373428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8B-4BB6-BF14-0E6BCFC1113A}"/>
                </c:ext>
              </c:extLst>
            </c:dLbl>
            <c:dLbl>
              <c:idx val="1"/>
              <c:layout>
                <c:manualLayout>
                  <c:x val="7.3031392402963845E-3"/>
                  <c:y val="7.246815530348097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48B-4BB6-BF14-0E6BCFC1113A}"/>
                </c:ext>
              </c:extLst>
            </c:dLbl>
            <c:dLbl>
              <c:idx val="2"/>
              <c:layout>
                <c:manualLayout>
                  <c:x val="1.5817691035064569E-3"/>
                  <c:y val="6.420072220993973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8B-4BB6-BF14-0E6BCFC1113A}"/>
                </c:ext>
              </c:extLst>
            </c:dLbl>
            <c:dLbl>
              <c:idx val="3"/>
              <c:layout>
                <c:manualLayout>
                  <c:x val="6.1312004245914755E-3"/>
                  <c:y val="-2.828353259298311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48B-4BB6-BF14-0E6BCFC1113A}"/>
                </c:ext>
              </c:extLst>
            </c:dLbl>
            <c:dLbl>
              <c:idx val="4"/>
              <c:layout>
                <c:manualLayout>
                  <c:x val="-3.4972405700472277E-3"/>
                  <c:y val="-3.556628855518383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48B-4BB6-BF14-0E6BCFC1113A}"/>
                </c:ext>
              </c:extLst>
            </c:dLbl>
            <c:dLbl>
              <c:idx val="5"/>
              <c:layout>
                <c:manualLayout>
                  <c:x val="-1.5670576722933177E-2"/>
                  <c:y val="1.98449005969285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48B-4BB6-BF14-0E6BCFC1113A}"/>
                </c:ext>
              </c:extLst>
            </c:dLbl>
            <c:dLbl>
              <c:idx val="6"/>
              <c:layout>
                <c:manualLayout>
                  <c:x val="-6.6837332537224473E-2"/>
                  <c:y val="2.51734947818346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48B-4BB6-BF14-0E6BCFC1113A}"/>
                </c:ext>
              </c:extLst>
            </c:dLbl>
            <c:dLbl>
              <c:idx val="7"/>
              <c:layout>
                <c:manualLayout>
                  <c:x val="-6.3003901763464473E-2"/>
                  <c:y val="3.19757600494322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48B-4BB6-BF14-0E6BCFC1113A}"/>
                </c:ext>
              </c:extLst>
            </c:dLbl>
            <c:dLbl>
              <c:idx val="8"/>
              <c:layout>
                <c:manualLayout>
                  <c:x val="-0.14578949760850138"/>
                  <c:y val="4.31896593507792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48B-4BB6-BF14-0E6BCFC1113A}"/>
                </c:ext>
              </c:extLst>
            </c:dLbl>
            <c:dLbl>
              <c:idx val="9"/>
              <c:layout>
                <c:manualLayout>
                  <c:x val="0.17887043740385533"/>
                  <c:y val="-0.11528998939927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48B-4BB6-BF14-0E6BCFC1113A}"/>
                </c:ext>
              </c:extLst>
            </c:dLbl>
            <c:dLbl>
              <c:idx val="10"/>
              <c:layout>
                <c:manualLayout>
                  <c:x val="0.10463282371935706"/>
                  <c:y val="0.156286985181692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848B-4BB6-BF14-0E6BCFC1113A}"/>
                </c:ext>
              </c:extLst>
            </c:dLbl>
            <c:dLbl>
              <c:idx val="11"/>
              <c:layout>
                <c:manualLayout>
                  <c:x val="-2.1073135582234375E-3"/>
                  <c:y val="8.9432207235986938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07294533981842"/>
                      <c:h val="6.91702761413357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848B-4BB6-BF14-0E6BCFC1113A}"/>
                </c:ext>
              </c:extLst>
            </c:dLbl>
            <c:dLbl>
              <c:idx val="12"/>
              <c:layout>
                <c:manualLayout>
                  <c:x val="0"/>
                  <c:y val="1.7864696473656565E-3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59934569790151"/>
                      <c:h val="7.9120727673649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848B-4BB6-BF14-0E6BCFC1113A}"/>
                </c:ext>
              </c:extLst>
            </c:dLbl>
            <c:dLbl>
              <c:idx val="13"/>
              <c:layout>
                <c:manualLayout>
                  <c:x val="1.0020219570052138E-2"/>
                  <c:y val="-4.56104675499782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848B-4BB6-BF14-0E6BCFC1113A}"/>
                </c:ext>
              </c:extLst>
            </c:dLbl>
            <c:dLbl>
              <c:idx val="14"/>
              <c:layout>
                <c:manualLayout>
                  <c:x val="2.3808303582905203E-2"/>
                  <c:y val="-3.819364262212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848B-4BB6-BF14-0E6BCFC1113A}"/>
                </c:ext>
              </c:extLst>
            </c:dLbl>
            <c:dLbl>
              <c:idx val="15"/>
              <c:layout>
                <c:manualLayout>
                  <c:x val="9.6928263114030175E-2"/>
                  <c:y val="-2.1558156594813766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F-848B-4BB6-BF14-0E6BCFC1113A}"/>
                </c:ext>
              </c:extLst>
            </c:dLbl>
            <c:dLbl>
              <c:idx val="16"/>
              <c:layout>
                <c:manualLayout>
                  <c:x val="9.0411944952378587E-2"/>
                  <c:y val="-2.19004201790101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848B-4BB6-BF14-0E6BCFC1113A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48B-4BB6-BF14-0E6BCFC1113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Лист1!$A$2:$A$19</c:f>
              <c:strCache>
                <c:ptCount val="17"/>
                <c:pt idx="0">
                  <c:v>ЖКХ</c:v>
                </c:pt>
                <c:pt idx="1">
                  <c:v>Административная комиссия</c:v>
                </c:pt>
                <c:pt idx="2">
                  <c:v>Архитектура</c:v>
                </c:pt>
                <c:pt idx="3">
                  <c:v>Безопасность, режим и защита гостайны</c:v>
                </c:pt>
                <c:pt idx="4">
                  <c:v>Бухгалтерский учет и основные фонды</c:v>
                </c:pt>
                <c:pt idx="5">
                  <c:v>Гражданская защита населения (ГО и ЧС)</c:v>
                </c:pt>
                <c:pt idx="6">
                  <c:v>Земельный контроль</c:v>
                </c:pt>
                <c:pt idx="7">
                  <c:v>КДНиЗП</c:v>
                </c:pt>
                <c:pt idx="8">
                  <c:v>Организационная работа</c:v>
                </c:pt>
                <c:pt idx="9">
                  <c:v>Правовой анализ</c:v>
                </c:pt>
                <c:pt idx="10">
                  <c:v>Социальная сфера</c:v>
                </c:pt>
                <c:pt idx="11">
                  <c:v>Торговля</c:v>
                </c:pt>
                <c:pt idx="12">
                  <c:v>Экономика и развитие </c:v>
                </c:pt>
                <c:pt idx="13">
                  <c:v>Правовой анализ</c:v>
                </c:pt>
                <c:pt idx="14">
                  <c:v>Социальная сфера, Обращения граждан</c:v>
                </c:pt>
                <c:pt idx="15">
                  <c:v>Финансы</c:v>
                </c:pt>
                <c:pt idx="16">
                  <c:v>Экономика и развитие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9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848B-4BB6-BF14-0E6BCFC111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7"/>
        <c:delete val="1"/>
      </c:legendEntry>
      <c:layout>
        <c:manualLayout>
          <c:xMode val="edge"/>
          <c:yMode val="edge"/>
          <c:x val="0"/>
          <c:y val="0.69686513267914951"/>
          <c:w val="0.99880268520937254"/>
          <c:h val="0.3031018746846708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8A9D-0171-4405-A1B8-9CEA5E19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7</cp:revision>
  <cp:lastPrinted>2021-07-05T11:04:00Z</cp:lastPrinted>
  <dcterms:created xsi:type="dcterms:W3CDTF">2021-07-01T09:22:00Z</dcterms:created>
  <dcterms:modified xsi:type="dcterms:W3CDTF">2021-07-05T11:06:00Z</dcterms:modified>
</cp:coreProperties>
</file>